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4657" w14:textId="7D813C4F" w:rsidR="00DC3B60" w:rsidRDefault="00BE1228" w:rsidP="00BE1228">
      <w:pPr>
        <w:jc w:val="both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Guide to doctoral credits</w:t>
      </w:r>
    </w:p>
    <w:p w14:paraId="4D710877" w14:textId="77777777" w:rsidR="00BE1228" w:rsidRDefault="00BE1228" w:rsidP="00BE1228">
      <w:pPr>
        <w:jc w:val="both"/>
        <w:rPr>
          <w:rFonts w:ascii="Garamond" w:hAnsi="Garamond"/>
          <w:b/>
          <w:bCs/>
          <w:lang w:val="en-US"/>
        </w:rPr>
      </w:pPr>
    </w:p>
    <w:p w14:paraId="05812005" w14:textId="3E1B2BE3" w:rsidR="00D21157" w:rsidRDefault="00DC3B60" w:rsidP="00DC3B60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Starting with the 40th cycle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(A.Y. 2024/25)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, Doctoral Credits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(CDs)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will be applied on an experimental basis to measure the workload required of each doctoral student in research, training and teaching activities for obtaining the degree</w:t>
      </w:r>
    </w:p>
    <w:p w14:paraId="19913B8A" w14:textId="77777777" w:rsidR="00DC3B60" w:rsidRPr="00DC3B60" w:rsidRDefault="00DC3B60" w:rsidP="00DC3B60">
      <w:pPr>
        <w:pStyle w:val="ListParagraph"/>
        <w:shd w:val="clear" w:color="auto" w:fill="FFFFFF"/>
        <w:spacing w:after="150" w:line="360" w:lineRule="atLeast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</w:p>
    <w:p w14:paraId="1E5C98A7" w14:textId="3FCEA787" w:rsidR="00E834A1" w:rsidRPr="00DC3B60" w:rsidRDefault="00DC3B60" w:rsidP="00197CF5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Eac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h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CD is worth 25 hours of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work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and doctoral student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s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must achieve 60 CDs per year,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for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 total of 180 CDs over the three-year period</w:t>
      </w:r>
    </w:p>
    <w:p w14:paraId="16F633DB" w14:textId="77777777" w:rsidR="00E834A1" w:rsidRPr="00DC3B60" w:rsidRDefault="00E834A1" w:rsidP="00197CF5">
      <w:pPr>
        <w:pStyle w:val="ListParagraph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</w:p>
    <w:p w14:paraId="44DF5EE3" w14:textId="4DF234AD" w:rsidR="00E834A1" w:rsidRPr="00DC3B60" w:rsidRDefault="00DC3B60" w:rsidP="00197CF5">
      <w:pPr>
        <w:pStyle w:val="ListParagraph"/>
        <w:numPr>
          <w:ilvl w:val="0"/>
          <w:numId w:val="3"/>
        </w:numPr>
        <w:shd w:val="clear" w:color="auto" w:fill="FFFFFF"/>
        <w:spacing w:after="150" w:line="360" w:lineRule="atLeast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O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f these 180 CDs, 140 CDs must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be acquired through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research activities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connected with the doctoral thesis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, and will be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awarded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to doctoral student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s when the thesis is submitted and approved </w:t>
      </w:r>
    </w:p>
    <w:p w14:paraId="6BD2F4C1" w14:textId="77777777" w:rsidR="00E834A1" w:rsidRPr="00DC3B60" w:rsidRDefault="00E834A1" w:rsidP="00197CF5">
      <w:pPr>
        <w:pStyle w:val="ListParagraph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</w:p>
    <w:p w14:paraId="0DD2670E" w14:textId="773CEDB1" w:rsidR="00E834A1" w:rsidRPr="00DD0AD7" w:rsidRDefault="00DC3B60" w:rsidP="00DD0AD7">
      <w:pPr>
        <w:pStyle w:val="ListParagraph"/>
        <w:numPr>
          <w:ilvl w:val="0"/>
          <w:numId w:val="3"/>
        </w:numPr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</w:pP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The remaining 40 CDs must instead be achieved by the end of the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three-year doctoral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course through (</w:t>
      </w:r>
      <w:proofErr w:type="spell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) curricular and extra-curricular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learning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activities, (ii) delivered and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integrative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teaching (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e.g.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examinations and teaching assistance) and (iii) participation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to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conferences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and summer/winter schools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. Each doctoral student is free to pursue these CDs by formulating, together with his/her supervisor, the training pathway that he/she deems most appropriate to his/her needs for research and academic/professional growth. However, our doctoral course identifies a minimum number of CDs to be achieved in each category </w:t>
      </w:r>
      <w:proofErr w:type="gram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in order to</w:t>
      </w:r>
      <w:proofErr w:type="gram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ensure a balanced distribution (see the Doctoral Credits Table attached to the course website).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 xml:space="preserve">The minimum </w:t>
      </w:r>
      <w:proofErr w:type="spell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>distribution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 xml:space="preserve"> of </w:t>
      </w:r>
      <w:proofErr w:type="spell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>CDs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 xml:space="preserve"> </w:t>
      </w:r>
      <w:proofErr w:type="spell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>is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 xml:space="preserve"> </w:t>
      </w:r>
      <w:proofErr w:type="spell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>as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 xml:space="preserve"> follows</w:t>
      </w:r>
      <w:r w:rsidR="00DF4C51"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  <w:t>:</w:t>
      </w:r>
    </w:p>
    <w:p w14:paraId="5BC843EC" w14:textId="77777777" w:rsidR="00E834A1" w:rsidRPr="00E834A1" w:rsidRDefault="00E834A1" w:rsidP="00197CF5">
      <w:pPr>
        <w:pStyle w:val="ListParagraph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val="it-IT" w:eastAsia="en-GB"/>
          <w14:ligatures w14:val="none"/>
        </w:rPr>
      </w:pPr>
    </w:p>
    <w:p w14:paraId="4B4D5C58" w14:textId="2E36B8DD" w:rsidR="005A18DE" w:rsidRPr="00DC3B60" w:rsidRDefault="00DC3B60" w:rsidP="001B71C1">
      <w:pPr>
        <w:pStyle w:val="ListParagraph"/>
        <w:numPr>
          <w:ilvl w:val="1"/>
          <w:numId w:val="3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Compulsory learning activities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each doctoral student must achieve, by the end of the doctorate, at least 5 CDs by attending in person the compulsory seminar cycle offered by the doctoral course in legal sciences (5 CDs correspond to 3 years of attendance of the 40-hour seminar cycle). The only admissible exceptions to this requirement are absences motivated by curricular study periods abroad, or compulsory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industry or public authority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internships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/traineeships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for PON and PNRR doctoral students. Other exceptional cases will be assessed by the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Academic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Boar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d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.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NB: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PhD students dispensed from attendance of the compulsory seminar cycle will not be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awarded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the CDs corresponding to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the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attendance of the seminar cycle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; this means that they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must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ensure they obtain </w:t>
      </w:r>
      <w:proofErr w:type="gram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a number of</w:t>
      </w:r>
      <w:proofErr w:type="gram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CDs equivalent to the number of hours lost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(i.e. up to 5 CDs if no seminars are attended)</w:t>
      </w:r>
    </w:p>
    <w:p w14:paraId="48C856F9" w14:textId="77777777" w:rsidR="00DC3B60" w:rsidRPr="00DC3B60" w:rsidRDefault="00DC3B60" w:rsidP="00DC3B60">
      <w:pPr>
        <w:pStyle w:val="ListParagraph"/>
        <w:ind w:left="1440"/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74359693" w14:textId="6E9816E4" w:rsidR="00E834A1" w:rsidRPr="00DC3B60" w:rsidRDefault="00DC3B60" w:rsidP="00197CF5">
      <w:pPr>
        <w:pStyle w:val="ListParagraph"/>
        <w:numPr>
          <w:ilvl w:val="1"/>
          <w:numId w:val="3"/>
        </w:numPr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Elective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training: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a minimum of 3 CDs is expected to be acquired by each doctoral student by taking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elective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courses or seminars. The selection of courses will depend on the training pathway that the doctoral student identifies together with his/her supervisor. In addition to the optional courses and seminars offered by the doctoral course in legal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lastRenderedPageBreak/>
        <w:t xml:space="preserve">sciences, it is also possible to choose to take courses offered by other departments or other universities that are relevant to the doctoral project, notifying the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Academic </w:t>
      </w:r>
      <w:proofErr w:type="spellStart"/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Baord</w:t>
      </w:r>
      <w:proofErr w:type="spell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. The CD value of the courses taken by the doctoral student,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unless pre-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determined by the course programme itself, will be assessed </w:t>
      </w:r>
      <w:proofErr w:type="gramStart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on the basis of</w:t>
      </w:r>
      <w:proofErr w:type="gram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the correspondence table available on the course website.</w:t>
      </w:r>
    </w:p>
    <w:p w14:paraId="69AC2404" w14:textId="77777777" w:rsidR="005A18DE" w:rsidRPr="00DC3B60" w:rsidRDefault="005A18DE" w:rsidP="00197CF5">
      <w:pPr>
        <w:pStyle w:val="ListParagraph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</w:p>
    <w:p w14:paraId="6651C2D4" w14:textId="4F8BD728" w:rsidR="005A18DE" w:rsidRPr="00DC3B60" w:rsidRDefault="00DC3B60" w:rsidP="00DC3B60">
      <w:pPr>
        <w:pStyle w:val="ListParagraph"/>
        <w:numPr>
          <w:ilvl w:val="1"/>
          <w:numId w:val="3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Transversal </w:t>
      </w:r>
      <w:r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skills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Each doctoral student must acquire a minimum of 3 CDs by the end of the course in the acquisition of transversal competences among those offered on </w:t>
      </w:r>
      <w:hyperlink r:id="rId5" w:history="1">
        <w:r w:rsidRPr="003319C7">
          <w:rPr>
            <w:rStyle w:val="Hyperlink"/>
            <w:rFonts w:ascii="Garamond" w:eastAsia="Times New Roman" w:hAnsi="Garamond" w:cs="Times New Roman"/>
            <w:kern w:val="0"/>
            <w:sz w:val="27"/>
            <w:szCs w:val="27"/>
            <w:lang w:eastAsia="en-GB"/>
            <w14:ligatures w14:val="none"/>
          </w:rPr>
          <w:t>https://eventi.unibo.it/competenze-trasversali-dottorato/phd-information-literacy-workshop</w:t>
        </w:r>
      </w:hyperlink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.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The allocation of CDs for attending these courses is 1 CD per 15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learning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hours.</w:t>
      </w:r>
    </w:p>
    <w:p w14:paraId="182A0BB2" w14:textId="77777777" w:rsidR="005A18DE" w:rsidRPr="00DC3B60" w:rsidRDefault="005A18DE" w:rsidP="00197CF5">
      <w:p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0270C532" w14:textId="77777777" w:rsidR="005A18DE" w:rsidRPr="00DC3B60" w:rsidRDefault="005A18DE" w:rsidP="00197CF5">
      <w:pPr>
        <w:pStyle w:val="ListParagraph"/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630CF06F" w14:textId="5DC0942B" w:rsidR="005A18DE" w:rsidRPr="00DC3B60" w:rsidRDefault="00DC3B60" w:rsidP="00197CF5">
      <w:pPr>
        <w:pStyle w:val="ListParagraph"/>
        <w:numPr>
          <w:ilvl w:val="1"/>
          <w:numId w:val="3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Extra-curricular training: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The course requires each PhD student to acquire a minimum of 3 CDs by the end of the course by participating in extra-curricular training activities, which mainly include participation in summer/winter schools. 3 CDs correspond to approximately seven days of participation in such activities</w:t>
      </w:r>
    </w:p>
    <w:p w14:paraId="72C7FD35" w14:textId="77777777" w:rsidR="00837DDC" w:rsidRPr="00DC3B60" w:rsidRDefault="00837DDC" w:rsidP="00197CF5">
      <w:p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43C3788C" w14:textId="3251705F" w:rsidR="00837DDC" w:rsidRPr="00DC3B60" w:rsidRDefault="00DC3B60" w:rsidP="00197CF5">
      <w:pPr>
        <w:pStyle w:val="ListParagraph"/>
        <w:numPr>
          <w:ilvl w:val="1"/>
          <w:numId w:val="3"/>
        </w:numPr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Participation </w:t>
      </w:r>
      <w:r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to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conferences: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Each doctoral student must achieve at least 5 CDs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by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participating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to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conferences. 5 CDs correspond to approximately 12 days of participation</w:t>
      </w:r>
    </w:p>
    <w:p w14:paraId="645E65B6" w14:textId="77777777" w:rsidR="00AE59D4" w:rsidRPr="00DC3B60" w:rsidRDefault="00AE59D4" w:rsidP="00197CF5">
      <w:pPr>
        <w:pStyle w:val="ListParagraph"/>
        <w:jc w:val="both"/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</w:pPr>
    </w:p>
    <w:p w14:paraId="05805747" w14:textId="5F3638BC" w:rsidR="00AE59D4" w:rsidRPr="00DC3B60" w:rsidRDefault="00DC3B60" w:rsidP="00DC3B60">
      <w:pPr>
        <w:pStyle w:val="ListParagraph"/>
        <w:numPr>
          <w:ilvl w:val="1"/>
          <w:numId w:val="3"/>
        </w:numPr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Teaching or </w:t>
      </w:r>
      <w:r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ancillary/integrative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teaching activities</w:t>
      </w:r>
      <w:r w:rsidRPr="00DC3B60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: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Each doctoral student must obtain between 3 and a maximum of 9 CDs through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teaching </w:t>
      </w:r>
      <w:proofErr w:type="gramStart"/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or </w:t>
      </w:r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integrative</w:t>
      </w:r>
      <w:proofErr w:type="gramEnd"/>
      <w:r w:rsidRPr="00DC3B60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teaching activities, which include teaching assistance and conducting examinations. The CD value of these activities will be assessed according to the correspondence tables provided on the course website</w:t>
      </w:r>
    </w:p>
    <w:p w14:paraId="3538A6EE" w14:textId="77777777" w:rsidR="00AE59D4" w:rsidRPr="00DC3B60" w:rsidRDefault="00AE59D4" w:rsidP="00197CF5">
      <w:pPr>
        <w:pStyle w:val="ListParagraph"/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053ACF81" w14:textId="55DB52E8" w:rsidR="00771D6E" w:rsidRPr="0026346D" w:rsidRDefault="00771D6E" w:rsidP="00B71234">
      <w:pPr>
        <w:pStyle w:val="ListParagraph"/>
        <w:numPr>
          <w:ilvl w:val="0"/>
          <w:numId w:val="3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26346D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NB: 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The minimum distribution of credits referred to above amounts to a total of </w:t>
      </w:r>
      <w:r w:rsidR="0026346D" w:rsidRPr="0026346D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22 CDs</w:t>
      </w:r>
      <w:r w:rsidR="0026346D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out of the total of </w:t>
      </w:r>
      <w:r w:rsidR="0026346D"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  <w:t>40 CDs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each candidate needs to achieve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. The remaining 18 CDs to be 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achieved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by doctoral candidate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s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by the end of </w:t>
      </w:r>
      <w:proofErr w:type="gramStart"/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the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course</w:t>
      </w:r>
      <w:proofErr w:type="gramEnd"/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may be freely 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chosen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among the activities identified</w:t>
      </w:r>
      <w:r w:rsid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above</w:t>
      </w:r>
      <w:r w:rsidR="0026346D"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, after consultation with the supervisor</w:t>
      </w:r>
    </w:p>
    <w:p w14:paraId="6BB81C8E" w14:textId="77777777" w:rsidR="0026346D" w:rsidRPr="0026346D" w:rsidRDefault="0026346D" w:rsidP="0026346D">
      <w:pPr>
        <w:pStyle w:val="ListParagraph"/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0C35BEBA" w14:textId="49C0027A" w:rsidR="0026346D" w:rsidRPr="0026346D" w:rsidRDefault="0026346D" w:rsidP="0026346D">
      <w:pPr>
        <w:pStyle w:val="ListParagraph"/>
        <w:numPr>
          <w:ilvl w:val="0"/>
          <w:numId w:val="3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Doctoral students are advised to</w:t>
      </w: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achieve a higher number of CDs in the first two years of the course, </w:t>
      </w:r>
      <w:proofErr w:type="gramStart"/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so as to</w:t>
      </w:r>
      <w:proofErr w:type="gramEnd"/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 </w:t>
      </w: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ideally </w:t>
      </w: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obtain at least 30 CDs by the beginning of the third year</w:t>
      </w:r>
    </w:p>
    <w:p w14:paraId="77BC41D0" w14:textId="77777777" w:rsidR="0026346D" w:rsidRPr="0026346D" w:rsidRDefault="0026346D" w:rsidP="0026346D">
      <w:pPr>
        <w:pStyle w:val="ListParagraph"/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105469A6" w14:textId="2ECF23A9" w:rsidR="00AE59D4" w:rsidRPr="0026346D" w:rsidRDefault="0026346D" w:rsidP="00197CF5">
      <w:pPr>
        <w:pStyle w:val="ListParagraph"/>
        <w:numPr>
          <w:ilvl w:val="0"/>
          <w:numId w:val="5"/>
        </w:numPr>
        <w:jc w:val="both"/>
        <w:rPr>
          <w:rFonts w:ascii="Garamond" w:eastAsia="Times New Roman" w:hAnsi="Garamond" w:cs="Times New Roman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 xml:space="preserve">The acquisition of CDs is verified during the </w:t>
      </w:r>
      <w:r w:rsidRPr="0026346D"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end-</w:t>
      </w:r>
      <w:r>
        <w:rPr>
          <w:rFonts w:ascii="Garamond" w:eastAsia="Times New Roman" w:hAnsi="Garamond" w:cs="Times New Roman"/>
          <w:color w:val="333333"/>
          <w:kern w:val="0"/>
          <w:sz w:val="27"/>
          <w:szCs w:val="27"/>
          <w:lang w:eastAsia="en-GB"/>
          <w14:ligatures w14:val="none"/>
        </w:rPr>
        <w:t>of-year progress review</w:t>
      </w:r>
    </w:p>
    <w:p w14:paraId="0DCEFB59" w14:textId="77777777" w:rsidR="00E834A1" w:rsidRPr="0026346D" w:rsidRDefault="00E834A1" w:rsidP="00197CF5">
      <w:pPr>
        <w:jc w:val="both"/>
        <w:rPr>
          <w:rFonts w:ascii="Garamond" w:hAnsi="Garamond"/>
          <w:b/>
          <w:bCs/>
        </w:rPr>
      </w:pPr>
    </w:p>
    <w:sectPr w:rsidR="00E834A1" w:rsidRPr="00263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E7C"/>
    <w:multiLevelType w:val="hybridMultilevel"/>
    <w:tmpl w:val="9B429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62445"/>
    <w:multiLevelType w:val="hybridMultilevel"/>
    <w:tmpl w:val="D950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044E"/>
    <w:multiLevelType w:val="hybridMultilevel"/>
    <w:tmpl w:val="B472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6F64"/>
    <w:multiLevelType w:val="hybridMultilevel"/>
    <w:tmpl w:val="3E28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D5AA2"/>
    <w:multiLevelType w:val="hybridMultilevel"/>
    <w:tmpl w:val="7940F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80998">
    <w:abstractNumId w:val="2"/>
  </w:num>
  <w:num w:numId="2" w16cid:durableId="69885851">
    <w:abstractNumId w:val="0"/>
  </w:num>
  <w:num w:numId="3" w16cid:durableId="370153382">
    <w:abstractNumId w:val="3"/>
  </w:num>
  <w:num w:numId="4" w16cid:durableId="1885171749">
    <w:abstractNumId w:val="4"/>
  </w:num>
  <w:num w:numId="5" w16cid:durableId="5092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A1"/>
    <w:rsid w:val="001278B4"/>
    <w:rsid w:val="001674C8"/>
    <w:rsid w:val="00197CF5"/>
    <w:rsid w:val="002048B2"/>
    <w:rsid w:val="0026346D"/>
    <w:rsid w:val="002B59DE"/>
    <w:rsid w:val="0031169B"/>
    <w:rsid w:val="003878C6"/>
    <w:rsid w:val="004960CA"/>
    <w:rsid w:val="0055413A"/>
    <w:rsid w:val="005570A1"/>
    <w:rsid w:val="005A18DE"/>
    <w:rsid w:val="00771D6E"/>
    <w:rsid w:val="007F03E5"/>
    <w:rsid w:val="00837DDC"/>
    <w:rsid w:val="00853339"/>
    <w:rsid w:val="00882F57"/>
    <w:rsid w:val="008A7626"/>
    <w:rsid w:val="008D7D10"/>
    <w:rsid w:val="00943BEF"/>
    <w:rsid w:val="00975F22"/>
    <w:rsid w:val="009C34B0"/>
    <w:rsid w:val="009D656C"/>
    <w:rsid w:val="00A1184A"/>
    <w:rsid w:val="00AE59D4"/>
    <w:rsid w:val="00B845DC"/>
    <w:rsid w:val="00BE1228"/>
    <w:rsid w:val="00D21157"/>
    <w:rsid w:val="00D768E6"/>
    <w:rsid w:val="00DC3B60"/>
    <w:rsid w:val="00DC3F56"/>
    <w:rsid w:val="00DD0AD7"/>
    <w:rsid w:val="00DF4C51"/>
    <w:rsid w:val="00E313BA"/>
    <w:rsid w:val="00E834A1"/>
    <w:rsid w:val="00EC0BFF"/>
    <w:rsid w:val="00E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31C20"/>
  <w15:chartTrackingRefBased/>
  <w15:docId w15:val="{90A8BC13-1742-554D-9408-981BBBC3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i.unibo.it/competenze-trasversali-dottorato/phd-information-literacy-work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Maniscalco</dc:creator>
  <cp:keywords/>
  <dc:description/>
  <cp:lastModifiedBy>Lorenzo Maniscalco</cp:lastModifiedBy>
  <cp:revision>4</cp:revision>
  <dcterms:created xsi:type="dcterms:W3CDTF">2024-10-30T19:03:00Z</dcterms:created>
  <dcterms:modified xsi:type="dcterms:W3CDTF">2024-11-04T11:26:00Z</dcterms:modified>
</cp:coreProperties>
</file>